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autoSpaceDE/>
        <w:autoSpaceDN/>
        <w:spacing w:line="560" w:lineRule="exact"/>
        <w:rPr>
          <w:rFonts w:ascii="黑体" w:hAnsi="黑体" w:eastAsia="黑体" w:cs="Times New Roman"/>
          <w:sz w:val="32"/>
          <w:szCs w:val="32"/>
          <w:lang w:eastAsia="zh-CN"/>
        </w:rPr>
      </w:pPr>
      <w:r>
        <w:rPr>
          <w:rFonts w:hint="eastAsia" w:ascii="黑体" w:hAnsi="黑体" w:eastAsia="黑体" w:cs="Times New Roman"/>
          <w:sz w:val="32"/>
          <w:szCs w:val="32"/>
          <w:lang w:eastAsia="zh-CN"/>
        </w:rPr>
        <w:t>附件</w:t>
      </w:r>
    </w:p>
    <w:p>
      <w:pPr>
        <w:topLinePunct/>
        <w:autoSpaceDE/>
        <w:autoSpaceDN/>
        <w:spacing w:line="56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 xml:space="preserve"> </w:t>
      </w:r>
    </w:p>
    <w:p>
      <w:pPr>
        <w:wordWrap w:val="0"/>
        <w:topLinePunct/>
        <w:autoSpaceDE/>
        <w:autoSpaceDN/>
        <w:spacing w:line="560" w:lineRule="exact"/>
        <w:jc w:val="center"/>
        <w:rPr>
          <w:rFonts w:hint="eastAsia" w:ascii="方正小标宋_GBK" w:hAnsi="Times New Roman" w:eastAsia="方正小标宋_GBK" w:cs="Times New Roman"/>
          <w:sz w:val="44"/>
          <w:szCs w:val="44"/>
          <w:lang w:eastAsia="zh-CN"/>
        </w:rPr>
      </w:pPr>
      <w:bookmarkStart w:id="0" w:name="_GoBack"/>
      <w:r>
        <w:rPr>
          <w:rFonts w:hint="eastAsia" w:ascii="方正小标宋_GBK" w:hAnsi="Times New Roman" w:eastAsia="方正小标宋_GBK" w:cs="Times New Roman"/>
          <w:sz w:val="44"/>
          <w:szCs w:val="44"/>
          <w:lang w:eastAsia="zh-CN"/>
        </w:rPr>
        <w:t>青岛市中央财政支持住房租赁市场发展试点</w:t>
      </w:r>
    </w:p>
    <w:p>
      <w:pPr>
        <w:wordWrap w:val="0"/>
        <w:topLinePunct/>
        <w:autoSpaceDE/>
        <w:autoSpaceDN/>
        <w:spacing w:line="560" w:lineRule="exact"/>
        <w:jc w:val="center"/>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sz w:val="44"/>
          <w:szCs w:val="44"/>
          <w:lang w:eastAsia="zh-CN"/>
        </w:rPr>
        <w:t>项目奖补资金申请使用指南</w:t>
      </w:r>
    </w:p>
    <w:bookmarkEnd w:id="0"/>
    <w:p>
      <w:pPr>
        <w:topLinePunct/>
        <w:autoSpaceDE/>
        <w:autoSpaceDN/>
        <w:spacing w:line="56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 xml:space="preserve"> </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根据《青岛市财政局 青岛市住房和城乡建设局关于印发〈青岛市中央财政支持住房租赁市场发展试点专项资金管理办法（试行）〉的通知》（青财综〔2020〕16号）、《青岛市中央财政支持住房租赁市场发展试点专项资金使用实施细则（试行）的通知》（青住房组发〔2021〕4号）、《关于进一步优化中央财政支持住房租赁市场发展试点专项资金申请主体及使用申请方式的通知》（青住房组发〔2022〕4号）等规定，为方便有关单位了解、掌握试点项目奖补资金申请使用程序，提高申请审核效率，制定本指南。</w:t>
      </w:r>
    </w:p>
    <w:p>
      <w:pPr>
        <w:autoSpaceDE/>
        <w:autoSpaceDN/>
        <w:spacing w:line="560" w:lineRule="exact"/>
        <w:ind w:firstLine="640"/>
        <w:jc w:val="both"/>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一、申请主体</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已取得中央财政支持住房租赁市场发展试点筹集房源项目奖补资金（以下简称“奖补资金”）的申请单位。</w:t>
      </w:r>
    </w:p>
    <w:p>
      <w:pPr>
        <w:autoSpaceDE/>
        <w:autoSpaceDN/>
        <w:spacing w:line="560" w:lineRule="exact"/>
        <w:ind w:firstLine="640"/>
        <w:jc w:val="both"/>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二、申请条件</w:t>
      </w:r>
    </w:p>
    <w:p>
      <w:pPr>
        <w:autoSpaceDE/>
        <w:autoSpaceDN/>
        <w:spacing w:line="560" w:lineRule="exact"/>
        <w:ind w:firstLine="640"/>
        <w:jc w:val="both"/>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（一）新建项目</w:t>
      </w:r>
    </w:p>
    <w:p>
      <w:pPr>
        <w:autoSpaceDE/>
        <w:autoSpaceDN/>
        <w:spacing w:line="560" w:lineRule="exact"/>
        <w:ind w:firstLine="640"/>
        <w:jc w:val="both"/>
        <w:rPr>
          <w:rFonts w:hint="eastAsia" w:ascii="仿宋_GB2312" w:hAnsi="等线" w:eastAsia="仿宋_GB2312" w:cs="Times New Roman"/>
          <w:kern w:val="2"/>
          <w:sz w:val="32"/>
          <w:szCs w:val="32"/>
          <w:lang w:eastAsia="zh-CN"/>
        </w:rPr>
      </w:pPr>
      <w:r>
        <w:rPr>
          <w:rFonts w:hint="eastAsia" w:ascii="仿宋_GB2312" w:hAnsi="等线" w:eastAsia="仿宋_GB2312" w:cs="Times New Roman"/>
          <w:kern w:val="2"/>
          <w:sz w:val="32"/>
          <w:szCs w:val="32"/>
          <w:lang w:eastAsia="zh-CN"/>
        </w:rPr>
        <w:t>第一阶段：项目取得建设工程施工许可证并实际开工后，可申请使用40%的奖补资金。</w:t>
      </w:r>
    </w:p>
    <w:p>
      <w:pPr>
        <w:autoSpaceDE/>
        <w:autoSpaceDN/>
        <w:spacing w:line="560" w:lineRule="exact"/>
        <w:ind w:firstLine="640"/>
        <w:jc w:val="both"/>
        <w:rPr>
          <w:rFonts w:hint="eastAsia" w:ascii="仿宋_GB2312" w:hAnsi="等线" w:eastAsia="仿宋_GB2312" w:cs="Times New Roman"/>
          <w:kern w:val="2"/>
          <w:sz w:val="32"/>
          <w:szCs w:val="32"/>
          <w:lang w:eastAsia="zh-CN"/>
        </w:rPr>
      </w:pPr>
      <w:r>
        <w:rPr>
          <w:rFonts w:hint="eastAsia" w:ascii="仿宋_GB2312" w:hAnsi="等线" w:eastAsia="仿宋_GB2312" w:cs="Times New Roman"/>
          <w:kern w:val="2"/>
          <w:sz w:val="32"/>
          <w:szCs w:val="32"/>
          <w:lang w:eastAsia="zh-CN"/>
        </w:rPr>
        <w:t>第二阶段：项目主体结构施工至正负零后，可申请使用40%的奖补资金。</w:t>
      </w:r>
    </w:p>
    <w:p>
      <w:pPr>
        <w:autoSpaceDE/>
        <w:autoSpaceDN/>
        <w:spacing w:line="560" w:lineRule="exact"/>
        <w:ind w:firstLine="640"/>
        <w:jc w:val="both"/>
        <w:rPr>
          <w:rFonts w:hint="eastAsia" w:ascii="仿宋_GB2312" w:hAnsi="等线" w:eastAsia="仿宋_GB2312" w:cs="Times New Roman"/>
          <w:kern w:val="2"/>
          <w:sz w:val="32"/>
          <w:szCs w:val="32"/>
          <w:lang w:eastAsia="zh-CN"/>
        </w:rPr>
      </w:pPr>
      <w:r>
        <w:rPr>
          <w:rFonts w:hint="eastAsia" w:ascii="仿宋_GB2312" w:hAnsi="等线" w:eastAsia="仿宋_GB2312" w:cs="Times New Roman"/>
          <w:kern w:val="2"/>
          <w:sz w:val="32"/>
          <w:szCs w:val="32"/>
          <w:lang w:eastAsia="zh-CN"/>
        </w:rPr>
        <w:t>第三阶段：项目通过综合验收，将项目房源录入市级监管平台并完成楼盘表搭建后，可申请使用剩余20%的奖补资金。</w:t>
      </w:r>
    </w:p>
    <w:p>
      <w:pPr>
        <w:autoSpaceDE/>
        <w:autoSpaceDN/>
        <w:spacing w:line="560" w:lineRule="exact"/>
        <w:ind w:firstLine="640"/>
        <w:jc w:val="both"/>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（二）改建项目</w:t>
      </w:r>
    </w:p>
    <w:p>
      <w:pPr>
        <w:autoSpaceDE/>
        <w:autoSpaceDN/>
        <w:spacing w:line="560" w:lineRule="exact"/>
        <w:ind w:firstLine="640"/>
        <w:jc w:val="both"/>
        <w:rPr>
          <w:rFonts w:hint="eastAsia" w:ascii="仿宋_GB2312" w:hAnsi="等线" w:eastAsia="仿宋_GB2312" w:cs="Times New Roman"/>
          <w:kern w:val="2"/>
          <w:sz w:val="32"/>
          <w:szCs w:val="32"/>
          <w:lang w:eastAsia="zh-CN"/>
        </w:rPr>
      </w:pPr>
      <w:r>
        <w:rPr>
          <w:rFonts w:hint="eastAsia" w:ascii="仿宋_GB2312" w:hAnsi="等线" w:eastAsia="仿宋_GB2312" w:cs="Times New Roman"/>
          <w:kern w:val="2"/>
          <w:sz w:val="32"/>
          <w:szCs w:val="32"/>
          <w:lang w:eastAsia="zh-CN"/>
        </w:rPr>
        <w:t>第一阶段：项目竣工验收合格后，可申请使用60%的奖补资金。</w:t>
      </w:r>
    </w:p>
    <w:p>
      <w:pPr>
        <w:autoSpaceDE/>
        <w:autoSpaceDN/>
        <w:spacing w:line="560" w:lineRule="exact"/>
        <w:ind w:firstLine="640"/>
        <w:jc w:val="both"/>
        <w:rPr>
          <w:rFonts w:hint="eastAsia" w:ascii="仿宋_GB2312" w:hAnsi="等线" w:eastAsia="仿宋_GB2312" w:cs="Times New Roman"/>
          <w:kern w:val="2"/>
          <w:sz w:val="32"/>
          <w:szCs w:val="32"/>
          <w:lang w:eastAsia="zh-CN"/>
        </w:rPr>
      </w:pPr>
      <w:r>
        <w:rPr>
          <w:rFonts w:hint="eastAsia" w:ascii="仿宋_GB2312" w:hAnsi="等线" w:eastAsia="仿宋_GB2312" w:cs="Times New Roman"/>
          <w:kern w:val="2"/>
          <w:sz w:val="32"/>
          <w:szCs w:val="32"/>
          <w:lang w:eastAsia="zh-CN"/>
        </w:rPr>
        <w:t>第二阶段：将项目房源录入市级监管平台并完成楼盘表搭建后，可申请使用剩余40%的奖补资金。</w:t>
      </w:r>
    </w:p>
    <w:p>
      <w:pPr>
        <w:autoSpaceDE/>
        <w:autoSpaceDN/>
        <w:spacing w:line="560" w:lineRule="exact"/>
        <w:ind w:firstLine="640"/>
        <w:jc w:val="both"/>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（三）盘活项目</w:t>
      </w:r>
    </w:p>
    <w:p>
      <w:pPr>
        <w:autoSpaceDE/>
        <w:autoSpaceDN/>
        <w:spacing w:line="560" w:lineRule="exact"/>
        <w:ind w:firstLine="640" w:firstLineChars="200"/>
        <w:jc w:val="both"/>
        <w:rPr>
          <w:rFonts w:hint="eastAsia" w:ascii="仿宋_GB2312" w:hAnsi="等线" w:eastAsia="仿宋_GB2312" w:cs="Times New Roman"/>
          <w:kern w:val="2"/>
          <w:sz w:val="32"/>
          <w:szCs w:val="32"/>
          <w:lang w:eastAsia="zh-CN"/>
        </w:rPr>
      </w:pPr>
      <w:r>
        <w:rPr>
          <w:rFonts w:hint="eastAsia" w:ascii="仿宋_GB2312" w:hAnsi="等线" w:eastAsia="仿宋_GB2312" w:cs="Times New Roman"/>
          <w:kern w:val="2"/>
          <w:sz w:val="32"/>
          <w:szCs w:val="32"/>
          <w:lang w:eastAsia="zh-CN"/>
        </w:rPr>
        <w:t>取得签章的《盘活社会闲置存量房屋奖补资金申请表》，并将项目房源录入市级监管平台，可申请使用100%的奖补资金。</w:t>
      </w:r>
    </w:p>
    <w:p>
      <w:pPr>
        <w:autoSpaceDE/>
        <w:autoSpaceDN/>
        <w:spacing w:line="560" w:lineRule="exact"/>
        <w:ind w:firstLine="640"/>
        <w:jc w:val="both"/>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（四）征收腾空房屋改造项目</w:t>
      </w:r>
    </w:p>
    <w:p>
      <w:pPr>
        <w:autoSpaceDE/>
        <w:autoSpaceDN/>
        <w:spacing w:line="560" w:lineRule="exact"/>
        <w:ind w:firstLine="640" w:firstLineChars="200"/>
        <w:jc w:val="both"/>
        <w:rPr>
          <w:rFonts w:hint="eastAsia" w:ascii="仿宋_GB2312" w:hAnsi="等线" w:eastAsia="仿宋_GB2312" w:cs="Times New Roman"/>
          <w:kern w:val="2"/>
          <w:sz w:val="32"/>
          <w:szCs w:val="32"/>
          <w:lang w:eastAsia="zh-CN"/>
        </w:rPr>
      </w:pPr>
      <w:r>
        <w:rPr>
          <w:rFonts w:hint="eastAsia" w:ascii="仿宋_GB2312" w:hAnsi="等线" w:eastAsia="仿宋_GB2312" w:cs="Times New Roman"/>
          <w:kern w:val="2"/>
          <w:sz w:val="32"/>
          <w:szCs w:val="32"/>
          <w:lang w:eastAsia="zh-CN"/>
        </w:rPr>
        <w:t>第一阶段：项目竣工验收合格后，可申请使用60%的奖补资金。</w:t>
      </w:r>
    </w:p>
    <w:p>
      <w:pPr>
        <w:autoSpaceDE/>
        <w:autoSpaceDN/>
        <w:spacing w:line="560" w:lineRule="exact"/>
        <w:ind w:firstLine="640" w:firstLineChars="200"/>
        <w:jc w:val="both"/>
        <w:rPr>
          <w:rFonts w:hint="eastAsia" w:ascii="仿宋_GB2312" w:hAnsi="等线" w:eastAsia="仿宋_GB2312" w:cs="Times New Roman"/>
          <w:kern w:val="2"/>
          <w:sz w:val="32"/>
          <w:szCs w:val="32"/>
          <w:lang w:eastAsia="zh-CN"/>
        </w:rPr>
      </w:pPr>
      <w:r>
        <w:rPr>
          <w:rFonts w:hint="eastAsia" w:ascii="仿宋_GB2312" w:hAnsi="等线" w:eastAsia="仿宋_GB2312" w:cs="Times New Roman"/>
          <w:kern w:val="2"/>
          <w:sz w:val="32"/>
          <w:szCs w:val="32"/>
          <w:lang w:eastAsia="zh-CN"/>
        </w:rPr>
        <w:t>第二阶段：将项目房源录入市级监管平台且完成楼盘表搭建后，可申请使用剩余40%的奖补资金。</w:t>
      </w:r>
    </w:p>
    <w:p>
      <w:pPr>
        <w:autoSpaceDE/>
        <w:autoSpaceDN/>
        <w:spacing w:line="560" w:lineRule="exact"/>
        <w:ind w:firstLine="640"/>
        <w:jc w:val="both"/>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三、申请方式</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申报单位登陆市级监管平台的“住房租赁市场公共服务系统”（网址：http://zfzl.qingdao.gov.cn)，进入“奖补使用申请”模块，根据《青岛市中央财政支持住房租赁市场发展试点专项资金使用实施细则（试行）》（青住房组发〔2021〕4号）具体要求，按照平台提示在线填写并上传相关材料。</w:t>
      </w:r>
    </w:p>
    <w:p>
      <w:pPr>
        <w:autoSpaceDE/>
        <w:autoSpaceDN/>
        <w:spacing w:line="560" w:lineRule="exact"/>
        <w:ind w:firstLine="640"/>
        <w:jc w:val="both"/>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四、受理流程</w:t>
      </w:r>
    </w:p>
    <w:p>
      <w:pPr>
        <w:autoSpaceDE/>
        <w:autoSpaceDN/>
        <w:spacing w:line="560" w:lineRule="exact"/>
        <w:ind w:firstLine="640"/>
        <w:jc w:val="both"/>
        <w:rPr>
          <w:rFonts w:hint="eastAsia" w:ascii="仿宋_GB2312" w:hAnsi="楷体" w:eastAsia="仿宋_GB2312" w:cs="Times New Roman"/>
          <w:kern w:val="2"/>
          <w:sz w:val="32"/>
          <w:szCs w:val="32"/>
          <w:lang w:eastAsia="zh-CN"/>
        </w:rPr>
      </w:pPr>
      <w:r>
        <w:rPr>
          <w:rFonts w:hint="eastAsia" w:ascii="仿宋_GB2312" w:eastAsia="仿宋_GB2312" w:cs="Times New Roman"/>
          <w:sz w:val="32"/>
          <w:szCs w:val="32"/>
          <w:lang w:eastAsia="zh-CN"/>
        </w:rPr>
        <w:t>奖补资金使用申请提交后，由相关区（市）住房城乡建设部门进行初审，并通过平台向申请单位发送《受理通知书》或《不予受理通知书》。</w:t>
      </w:r>
    </w:p>
    <w:p>
      <w:pPr>
        <w:autoSpaceDE/>
        <w:autoSpaceDN/>
        <w:spacing w:line="560" w:lineRule="exact"/>
        <w:ind w:firstLine="640"/>
        <w:jc w:val="both"/>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五、申报材料</w:t>
      </w:r>
    </w:p>
    <w:p>
      <w:pPr>
        <w:overflowPunct w:val="0"/>
        <w:adjustRightInd w:val="0"/>
        <w:snapToGrid w:val="0"/>
        <w:spacing w:line="560" w:lineRule="exact"/>
        <w:ind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我市中央财政支持住房租赁市场发展试点筹集房源项目奖补资金使用申请资料清单如下：</w:t>
      </w:r>
    </w:p>
    <w:tbl>
      <w:tblPr>
        <w:tblStyle w:val="8"/>
        <w:tblW w:w="8978" w:type="dxa"/>
        <w:jc w:val="center"/>
        <w:tblLayout w:type="fixed"/>
        <w:tblCellMar>
          <w:top w:w="0" w:type="dxa"/>
          <w:left w:w="108" w:type="dxa"/>
          <w:bottom w:w="0" w:type="dxa"/>
          <w:right w:w="108" w:type="dxa"/>
        </w:tblCellMar>
      </w:tblPr>
      <w:tblGrid>
        <w:gridCol w:w="612"/>
        <w:gridCol w:w="1208"/>
        <w:gridCol w:w="4322"/>
        <w:gridCol w:w="2836"/>
      </w:tblGrid>
      <w:tr>
        <w:tblPrEx>
          <w:tblCellMar>
            <w:top w:w="0" w:type="dxa"/>
            <w:left w:w="108" w:type="dxa"/>
            <w:bottom w:w="0" w:type="dxa"/>
            <w:right w:w="108" w:type="dxa"/>
          </w:tblCellMar>
        </w:tblPrEx>
        <w:trPr>
          <w:cantSplit/>
          <w:trHeight w:val="675"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240" w:lineRule="exact"/>
              <w:jc w:val="center"/>
              <w:rPr>
                <w:rFonts w:ascii="黑体" w:hAnsi="黑体" w:eastAsia="黑体" w:cs="华文楷体"/>
                <w:sz w:val="24"/>
                <w:szCs w:val="24"/>
                <w:lang w:eastAsia="zh-CN"/>
              </w:rPr>
            </w:pPr>
            <w:r>
              <w:rPr>
                <w:rFonts w:hint="eastAsia" w:ascii="黑体" w:hAnsi="黑体" w:eastAsia="黑体" w:cs="华文楷体"/>
                <w:sz w:val="24"/>
                <w:szCs w:val="24"/>
                <w:lang w:eastAsia="zh-CN"/>
              </w:rPr>
              <w:t>序号</w:t>
            </w:r>
          </w:p>
        </w:tc>
        <w:tc>
          <w:tcPr>
            <w:tcW w:w="1208" w:type="dxa"/>
            <w:tcBorders>
              <w:top w:val="single" w:color="auto" w:sz="4" w:space="0"/>
              <w:left w:val="nil"/>
              <w:bottom w:val="single" w:color="auto" w:sz="4" w:space="0"/>
              <w:right w:val="single" w:color="auto" w:sz="4" w:space="0"/>
            </w:tcBorders>
            <w:vAlign w:val="center"/>
          </w:tcPr>
          <w:p>
            <w:pPr>
              <w:widowControl/>
              <w:autoSpaceDE/>
              <w:autoSpaceDN/>
              <w:spacing w:line="240" w:lineRule="exact"/>
              <w:jc w:val="center"/>
              <w:rPr>
                <w:rFonts w:ascii="黑体" w:hAnsi="黑体" w:eastAsia="黑体" w:cs="华文楷体"/>
                <w:sz w:val="24"/>
                <w:szCs w:val="24"/>
                <w:lang w:eastAsia="zh-CN"/>
              </w:rPr>
            </w:pPr>
            <w:r>
              <w:rPr>
                <w:rFonts w:hint="eastAsia" w:ascii="黑体" w:hAnsi="黑体" w:eastAsia="黑体" w:cs="华文楷体"/>
                <w:sz w:val="24"/>
                <w:szCs w:val="24"/>
                <w:lang w:eastAsia="zh-CN"/>
              </w:rPr>
              <w:t>类别</w:t>
            </w:r>
          </w:p>
        </w:tc>
        <w:tc>
          <w:tcPr>
            <w:tcW w:w="4322" w:type="dxa"/>
            <w:tcBorders>
              <w:top w:val="single" w:color="auto" w:sz="4" w:space="0"/>
              <w:left w:val="nil"/>
              <w:bottom w:val="single" w:color="000000" w:sz="4" w:space="0"/>
              <w:right w:val="single" w:color="auto" w:sz="4" w:space="0"/>
            </w:tcBorders>
            <w:vAlign w:val="center"/>
          </w:tcPr>
          <w:p>
            <w:pPr>
              <w:widowControl/>
              <w:autoSpaceDE/>
              <w:autoSpaceDN/>
              <w:spacing w:line="240" w:lineRule="exact"/>
              <w:jc w:val="center"/>
              <w:rPr>
                <w:rFonts w:ascii="黑体" w:hAnsi="黑体" w:eastAsia="黑体" w:cs="华文楷体"/>
                <w:sz w:val="24"/>
                <w:szCs w:val="24"/>
                <w:lang w:eastAsia="zh-CN"/>
              </w:rPr>
            </w:pPr>
            <w:r>
              <w:rPr>
                <w:rFonts w:hint="eastAsia" w:ascii="黑体" w:hAnsi="黑体" w:eastAsia="黑体" w:cs="华文楷体"/>
                <w:sz w:val="24"/>
                <w:szCs w:val="24"/>
                <w:lang w:eastAsia="zh-CN"/>
              </w:rPr>
              <w:t>资料</w:t>
            </w:r>
          </w:p>
        </w:tc>
        <w:tc>
          <w:tcPr>
            <w:tcW w:w="2836" w:type="dxa"/>
            <w:tcBorders>
              <w:top w:val="single" w:color="auto" w:sz="4" w:space="0"/>
              <w:left w:val="nil"/>
              <w:bottom w:val="single" w:color="000000" w:sz="4" w:space="0"/>
              <w:right w:val="single" w:color="auto" w:sz="4" w:space="0"/>
            </w:tcBorders>
            <w:vAlign w:val="center"/>
          </w:tcPr>
          <w:p>
            <w:pPr>
              <w:widowControl/>
              <w:autoSpaceDE/>
              <w:autoSpaceDN/>
              <w:spacing w:line="240" w:lineRule="exact"/>
              <w:jc w:val="center"/>
              <w:rPr>
                <w:rFonts w:ascii="黑体" w:hAnsi="黑体" w:eastAsia="黑体" w:cs="华文楷体"/>
                <w:sz w:val="24"/>
                <w:szCs w:val="24"/>
                <w:lang w:eastAsia="zh-CN"/>
              </w:rPr>
            </w:pPr>
            <w:r>
              <w:rPr>
                <w:rFonts w:hint="eastAsia" w:ascii="黑体" w:hAnsi="黑体" w:eastAsia="黑体" w:cs="华文楷体"/>
                <w:sz w:val="24"/>
                <w:szCs w:val="24"/>
                <w:lang w:eastAsia="zh-CN"/>
              </w:rPr>
              <w:t>备注</w:t>
            </w:r>
          </w:p>
        </w:tc>
      </w:tr>
      <w:tr>
        <w:tblPrEx>
          <w:tblCellMar>
            <w:top w:w="0" w:type="dxa"/>
            <w:left w:w="108" w:type="dxa"/>
            <w:bottom w:w="0" w:type="dxa"/>
            <w:right w:w="108" w:type="dxa"/>
          </w:tblCellMar>
        </w:tblPrEx>
        <w:trPr>
          <w:cantSplit/>
          <w:trHeight w:val="911" w:hRule="atLeast"/>
          <w:jc w:val="center"/>
        </w:trPr>
        <w:tc>
          <w:tcPr>
            <w:tcW w:w="612" w:type="dxa"/>
            <w:vMerge w:val="restart"/>
            <w:tcBorders>
              <w:top w:val="nil"/>
              <w:left w:val="single" w:color="auto" w:sz="4" w:space="0"/>
              <w:bottom w:val="single" w:color="auto" w:sz="4" w:space="0"/>
              <w:right w:val="single" w:color="auto" w:sz="4" w:space="0"/>
            </w:tcBorders>
            <w:vAlign w:val="center"/>
          </w:tcPr>
          <w:p>
            <w:pPr>
              <w:widowControl/>
              <w:autoSpaceDE/>
              <w:autoSpaceDN/>
              <w:spacing w:line="24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1</w:t>
            </w:r>
          </w:p>
        </w:tc>
        <w:tc>
          <w:tcPr>
            <w:tcW w:w="1208" w:type="dxa"/>
            <w:vMerge w:val="restart"/>
            <w:tcBorders>
              <w:top w:val="nil"/>
              <w:left w:val="nil"/>
              <w:bottom w:val="single" w:color="auto" w:sz="4" w:space="0"/>
              <w:right w:val="single" w:color="auto" w:sz="4" w:space="0"/>
            </w:tcBorders>
            <w:vAlign w:val="center"/>
          </w:tcPr>
          <w:p>
            <w:pPr>
              <w:widowControl/>
              <w:autoSpaceDE/>
              <w:autoSpaceDN/>
              <w:spacing w:line="24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新建项目资料</w:t>
            </w: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新建租赁住房奖补资金申请表</w:t>
            </w:r>
          </w:p>
        </w:tc>
        <w:tc>
          <w:tcPr>
            <w:tcW w:w="2836" w:type="dxa"/>
            <w:vMerge w:val="restart"/>
            <w:tcBorders>
              <w:top w:val="nil"/>
              <w:left w:val="nil"/>
              <w:bottom w:val="single" w:color="auto" w:sz="4" w:space="0"/>
              <w:right w:val="single" w:color="auto" w:sz="4" w:space="0"/>
            </w:tcBorders>
            <w:vAlign w:val="center"/>
          </w:tcPr>
          <w:p>
            <w:pPr>
              <w:widowControl/>
              <w:autoSpaceDE/>
              <w:autoSpaceDN/>
              <w:spacing w:line="280" w:lineRule="exact"/>
              <w:jc w:val="both"/>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第1次奖补资金申请使用：项目取得建设工程施工许可证并实际开工后，申请使用40%的奖补资金所需提供的资料。</w:t>
            </w: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color w:val="FF0000"/>
                <w:sz w:val="24"/>
                <w:szCs w:val="24"/>
                <w:lang w:eastAsia="zh-CN"/>
              </w:rPr>
            </w:pPr>
            <w:r>
              <w:rPr>
                <w:rFonts w:hint="eastAsia" w:ascii="仿宋_GB2312" w:hAnsi="Times New Roman" w:eastAsia="仿宋_GB2312" w:cs="Times New Roman"/>
                <w:color w:val="000000"/>
                <w:sz w:val="24"/>
                <w:szCs w:val="24"/>
                <w:lang w:eastAsia="zh-CN"/>
              </w:rPr>
              <w:t>建筑工程施工许可证</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1133"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项目效果图</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（含全景鸟瞰图并标注租赁住房项目具体楼体位置）</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1135"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施工现场全景及租赁住房项目单体照片</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（要求照片做到定时定位）</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#其它资料</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931"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新建租赁住房奖补资金申请表</w:t>
            </w:r>
          </w:p>
        </w:tc>
        <w:tc>
          <w:tcPr>
            <w:tcW w:w="2836" w:type="dxa"/>
            <w:vMerge w:val="restart"/>
            <w:tcBorders>
              <w:top w:val="nil"/>
              <w:left w:val="nil"/>
              <w:bottom w:val="single" w:color="auto" w:sz="4" w:space="0"/>
              <w:right w:val="single" w:color="auto" w:sz="4" w:space="0"/>
            </w:tcBorders>
            <w:vAlign w:val="center"/>
          </w:tcPr>
          <w:p>
            <w:pPr>
              <w:widowControl/>
              <w:autoSpaceDE/>
              <w:autoSpaceDN/>
              <w:spacing w:line="280" w:lineRule="exact"/>
              <w:jc w:val="both"/>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第2次奖补资金申请使用：项目主体结构施工至正负零后，申请使用40%的奖补资金所需提供的资料。</w:t>
            </w:r>
          </w:p>
        </w:tc>
      </w:tr>
      <w:tr>
        <w:tblPrEx>
          <w:tblCellMar>
            <w:top w:w="0" w:type="dxa"/>
            <w:left w:w="108" w:type="dxa"/>
            <w:bottom w:w="0" w:type="dxa"/>
            <w:right w:w="108" w:type="dxa"/>
          </w:tblCellMar>
        </w:tblPrEx>
        <w:trPr>
          <w:cantSplit/>
          <w:trHeight w:val="965"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地基与基础工程验收报告</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1041"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施工现场全景及租赁住房项目单体照片</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（要求照片做到定时定位）</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#其它资料</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restart"/>
            <w:tcBorders>
              <w:top w:val="nil"/>
              <w:left w:val="single" w:color="auto" w:sz="4" w:space="0"/>
              <w:bottom w:val="single" w:color="auto" w:sz="4" w:space="0"/>
              <w:right w:val="single" w:color="auto" w:sz="4" w:space="0"/>
            </w:tcBorders>
            <w:vAlign w:val="center"/>
          </w:tcPr>
          <w:p>
            <w:pPr>
              <w:widowControl/>
              <w:autoSpaceDE/>
              <w:autoSpaceDN/>
              <w:spacing w:line="24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1</w:t>
            </w:r>
          </w:p>
        </w:tc>
        <w:tc>
          <w:tcPr>
            <w:tcW w:w="1208" w:type="dxa"/>
            <w:vMerge w:val="restart"/>
            <w:tcBorders>
              <w:top w:val="nil"/>
              <w:left w:val="nil"/>
              <w:bottom w:val="single" w:color="auto" w:sz="4" w:space="0"/>
              <w:right w:val="single" w:color="auto" w:sz="4" w:space="0"/>
            </w:tcBorders>
            <w:vAlign w:val="center"/>
          </w:tcPr>
          <w:p>
            <w:pPr>
              <w:widowControl/>
              <w:autoSpaceDE/>
              <w:autoSpaceDN/>
              <w:spacing w:line="24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新建项目资料</w:t>
            </w: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房屋建筑工程竣工验收备案表</w:t>
            </w:r>
          </w:p>
        </w:tc>
        <w:tc>
          <w:tcPr>
            <w:tcW w:w="2836" w:type="dxa"/>
            <w:vMerge w:val="restart"/>
            <w:tcBorders>
              <w:top w:val="nil"/>
              <w:left w:val="nil"/>
              <w:bottom w:val="single" w:color="auto" w:sz="4" w:space="0"/>
              <w:right w:val="single" w:color="auto" w:sz="4" w:space="0"/>
            </w:tcBorders>
            <w:vAlign w:val="center"/>
          </w:tcPr>
          <w:p>
            <w:pPr>
              <w:widowControl/>
              <w:autoSpaceDE/>
              <w:autoSpaceDN/>
              <w:spacing w:line="280" w:lineRule="exact"/>
              <w:jc w:val="both"/>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第3次奖补资金申请使用：项目通过综合验收，并将项目房源录入市级监管平台且搭建楼盘表后，申请使用20%的奖补资金所需提供的资料。</w:t>
            </w: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第三方测绘机构出具的套（间）建筑面积测绘报告及测绘机构资质证明</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施工现场全景及租赁住房项目单体照片</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（要求照片做到定时定位）</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房源录入市级监管平台</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（以平台自动检测为准）</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#其它资料</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523" w:hRule="atLeast"/>
          <w:jc w:val="center"/>
        </w:trPr>
        <w:tc>
          <w:tcPr>
            <w:tcW w:w="612" w:type="dxa"/>
            <w:vMerge w:val="restart"/>
            <w:tcBorders>
              <w:top w:val="nil"/>
              <w:left w:val="single" w:color="auto" w:sz="4" w:space="0"/>
              <w:bottom w:val="single" w:color="auto" w:sz="4" w:space="0"/>
              <w:right w:val="single" w:color="auto" w:sz="4" w:space="0"/>
            </w:tcBorders>
            <w:vAlign w:val="center"/>
          </w:tcPr>
          <w:p>
            <w:pPr>
              <w:widowControl/>
              <w:autoSpaceDE/>
              <w:autoSpaceDN/>
              <w:spacing w:line="24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2</w:t>
            </w:r>
          </w:p>
        </w:tc>
        <w:tc>
          <w:tcPr>
            <w:tcW w:w="1208" w:type="dxa"/>
            <w:vMerge w:val="restart"/>
            <w:tcBorders>
              <w:top w:val="nil"/>
              <w:left w:val="nil"/>
              <w:bottom w:val="single" w:color="auto" w:sz="4" w:space="0"/>
              <w:right w:val="single" w:color="auto" w:sz="4" w:space="0"/>
            </w:tcBorders>
            <w:vAlign w:val="center"/>
          </w:tcPr>
          <w:p>
            <w:pPr>
              <w:widowControl/>
              <w:autoSpaceDE/>
              <w:autoSpaceDN/>
              <w:spacing w:line="24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改建项目资料</w:t>
            </w: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改建非居住存量房屋奖补资金申请表</w:t>
            </w:r>
          </w:p>
        </w:tc>
        <w:tc>
          <w:tcPr>
            <w:tcW w:w="2836" w:type="dxa"/>
            <w:vMerge w:val="restart"/>
            <w:tcBorders>
              <w:top w:val="nil"/>
              <w:left w:val="nil"/>
              <w:bottom w:val="single" w:color="auto" w:sz="4" w:space="0"/>
              <w:right w:val="single" w:color="auto" w:sz="4" w:space="0"/>
            </w:tcBorders>
            <w:vAlign w:val="center"/>
          </w:tcPr>
          <w:p>
            <w:pPr>
              <w:widowControl/>
              <w:autoSpaceDE/>
              <w:autoSpaceDN/>
              <w:spacing w:line="280" w:lineRule="exact"/>
              <w:jc w:val="both"/>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第1次奖补资金申请使用：项目竣工验收合格后，申请使用60%的奖补资金所需提供的资料。</w:t>
            </w:r>
          </w:p>
        </w:tc>
      </w:tr>
      <w:tr>
        <w:tblPrEx>
          <w:tblCellMar>
            <w:top w:w="0" w:type="dxa"/>
            <w:left w:w="108" w:type="dxa"/>
            <w:bottom w:w="0" w:type="dxa"/>
            <w:right w:w="108" w:type="dxa"/>
          </w:tblCellMar>
        </w:tblPrEx>
        <w:trPr>
          <w:cantSplit/>
          <w:trHeight w:val="559"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建设工程竣工验收报告</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553"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房屋建筑工程竣工验收备案表</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561"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建设工程消防验收备案表</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项目现场照片</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（要求照片做到定时定位）</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工程竣工决算书等能够证明工程费用的材料</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#其它资料</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房源录入市级监管平台</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（以平台自动检测为准）</w:t>
            </w:r>
          </w:p>
        </w:tc>
        <w:tc>
          <w:tcPr>
            <w:tcW w:w="2836" w:type="dxa"/>
            <w:vMerge w:val="restart"/>
            <w:tcBorders>
              <w:top w:val="nil"/>
              <w:left w:val="nil"/>
              <w:bottom w:val="single" w:color="auto" w:sz="4" w:space="0"/>
              <w:right w:val="single" w:color="auto" w:sz="4" w:space="0"/>
            </w:tcBorders>
            <w:vAlign w:val="center"/>
          </w:tcPr>
          <w:p>
            <w:pPr>
              <w:widowControl/>
              <w:autoSpaceDE/>
              <w:autoSpaceDN/>
              <w:spacing w:line="280" w:lineRule="exact"/>
              <w:jc w:val="both"/>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第2次奖补资金申请使用：申请单位将项目房源录入市级监管平台并搭建楼盘表后，可申请使用剩余40%的奖补资金。</w:t>
            </w: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第三方专业机构出具的空气质量检测合格证明及检测机构资质证明</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第三方测绘机构出具的套（间）建筑面积测绘报告及测绘机构资质证明</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#其它资料</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restart"/>
            <w:tcBorders>
              <w:top w:val="nil"/>
              <w:left w:val="single" w:color="auto" w:sz="4" w:space="0"/>
              <w:bottom w:val="single" w:color="auto" w:sz="4" w:space="0"/>
              <w:right w:val="single" w:color="auto" w:sz="4" w:space="0"/>
            </w:tcBorders>
            <w:vAlign w:val="center"/>
          </w:tcPr>
          <w:p>
            <w:pPr>
              <w:widowControl/>
              <w:autoSpaceDE/>
              <w:autoSpaceDN/>
              <w:spacing w:line="24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3</w:t>
            </w:r>
          </w:p>
        </w:tc>
        <w:tc>
          <w:tcPr>
            <w:tcW w:w="1208" w:type="dxa"/>
            <w:vMerge w:val="restart"/>
            <w:tcBorders>
              <w:top w:val="nil"/>
              <w:left w:val="nil"/>
              <w:bottom w:val="single" w:color="auto" w:sz="4" w:space="0"/>
              <w:right w:val="single" w:color="auto" w:sz="4" w:space="0"/>
            </w:tcBorders>
            <w:vAlign w:val="center"/>
          </w:tcPr>
          <w:p>
            <w:pPr>
              <w:widowControl/>
              <w:autoSpaceDE/>
              <w:autoSpaceDN/>
              <w:spacing w:line="24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盘活项目资料</w:t>
            </w: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盘活闲置存量房屋奖补资金申请表</w:t>
            </w:r>
          </w:p>
        </w:tc>
        <w:tc>
          <w:tcPr>
            <w:tcW w:w="2836" w:type="dxa"/>
            <w:vMerge w:val="restart"/>
            <w:tcBorders>
              <w:top w:val="nil"/>
              <w:left w:val="nil"/>
              <w:bottom w:val="single" w:color="auto" w:sz="4" w:space="0"/>
              <w:right w:val="single" w:color="auto" w:sz="4" w:space="0"/>
            </w:tcBorders>
            <w:vAlign w:val="center"/>
          </w:tcPr>
          <w:p>
            <w:pPr>
              <w:widowControl/>
              <w:autoSpaceDE/>
              <w:autoSpaceDN/>
              <w:spacing w:line="280" w:lineRule="exact"/>
              <w:jc w:val="both"/>
              <w:rPr>
                <w:rFonts w:ascii="仿宋_GB2312" w:hAnsi="Times New Roman" w:eastAsia="仿宋_GB2312" w:cs="Times New Roman"/>
                <w:sz w:val="24"/>
                <w:szCs w:val="24"/>
                <w:lang w:eastAsia="zh-CN"/>
              </w:rPr>
            </w:pPr>
            <w:r>
              <w:rPr>
                <w:rFonts w:hint="eastAsia" w:ascii="仿宋_GB2312" w:hAnsi="Times New Roman" w:eastAsia="仿宋_GB2312" w:cs="Times New Roman"/>
                <w:color w:val="000000"/>
                <w:sz w:val="24"/>
                <w:szCs w:val="24"/>
                <w:lang w:eastAsia="zh-CN"/>
              </w:rPr>
              <w:t>申请单位将项目房源录入市级监管平台后，申请使用100%奖补资金所需提供的资料。</w:t>
            </w: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房源录入市级监管平台</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（以平台自动检测为准）</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#其它资料</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restart"/>
            <w:tcBorders>
              <w:top w:val="nil"/>
              <w:left w:val="single" w:color="auto" w:sz="4" w:space="0"/>
              <w:bottom w:val="single" w:color="auto" w:sz="4" w:space="0"/>
              <w:right w:val="single" w:color="auto" w:sz="4" w:space="0"/>
            </w:tcBorders>
            <w:vAlign w:val="center"/>
          </w:tcPr>
          <w:p>
            <w:pPr>
              <w:widowControl/>
              <w:autoSpaceDE/>
              <w:autoSpaceDN/>
              <w:spacing w:line="24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4</w:t>
            </w:r>
          </w:p>
        </w:tc>
        <w:tc>
          <w:tcPr>
            <w:tcW w:w="1208" w:type="dxa"/>
            <w:vMerge w:val="restart"/>
            <w:tcBorders>
              <w:top w:val="nil"/>
              <w:left w:val="nil"/>
              <w:bottom w:val="single" w:color="auto" w:sz="4" w:space="0"/>
              <w:right w:val="single" w:color="auto" w:sz="4" w:space="0"/>
            </w:tcBorders>
            <w:vAlign w:val="center"/>
          </w:tcPr>
          <w:p>
            <w:pPr>
              <w:widowControl/>
              <w:autoSpaceDE/>
              <w:autoSpaceDN/>
              <w:spacing w:line="24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征收腾空房屋改造项目资料</w:t>
            </w: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征收腾空房屋改造租赁住房奖补资金</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申请表</w:t>
            </w:r>
          </w:p>
        </w:tc>
        <w:tc>
          <w:tcPr>
            <w:tcW w:w="2836" w:type="dxa"/>
            <w:vMerge w:val="restart"/>
            <w:tcBorders>
              <w:top w:val="nil"/>
              <w:left w:val="nil"/>
              <w:bottom w:val="single" w:color="auto" w:sz="4" w:space="0"/>
              <w:right w:val="single" w:color="auto" w:sz="4" w:space="0"/>
            </w:tcBorders>
            <w:vAlign w:val="center"/>
          </w:tcPr>
          <w:p>
            <w:pPr>
              <w:widowControl/>
              <w:autoSpaceDE/>
              <w:autoSpaceDN/>
              <w:spacing w:line="280" w:lineRule="exact"/>
              <w:jc w:val="both"/>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第1次奖补资金申请使用：项目竣工验收合格后，申请使用60%的奖补资金所需提供的资料。</w:t>
            </w: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建设工程竣工验收报告</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房屋建筑工程竣工验收备案表</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建设工程消防验收备案表</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工程竣工决算书等能够证明工程费用的材料</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项目现场照片</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（要求照片做到定时定位）</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#其它资料</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征收腾空房屋改造租赁住房奖补资金</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申请表</w:t>
            </w:r>
          </w:p>
        </w:tc>
        <w:tc>
          <w:tcPr>
            <w:tcW w:w="2836" w:type="dxa"/>
            <w:vMerge w:val="restart"/>
            <w:tcBorders>
              <w:top w:val="nil"/>
              <w:left w:val="nil"/>
              <w:bottom w:val="single" w:color="auto" w:sz="4" w:space="0"/>
              <w:right w:val="single" w:color="auto" w:sz="4" w:space="0"/>
            </w:tcBorders>
            <w:vAlign w:val="center"/>
          </w:tcPr>
          <w:p>
            <w:pPr>
              <w:widowControl/>
              <w:autoSpaceDE/>
              <w:autoSpaceDN/>
              <w:spacing w:line="280" w:lineRule="exact"/>
              <w:jc w:val="both"/>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第2次奖补资金申请使用：申请单位将项目房源录入市级监管平台并搭建楼盘表后，可申请使用剩余40%的奖补资金。</w:t>
            </w: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第三方测绘机构出具的套（间）建筑面积测绘报告及测绘机构资质证明</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第三方专业机构出具的空气质量检测合格证明及检测机构资质证明</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房源录入市级监管平台</w:t>
            </w:r>
          </w:p>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（以平台自动检测为准）</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r>
        <w:tblPrEx>
          <w:tblCellMar>
            <w:top w:w="0" w:type="dxa"/>
            <w:left w:w="108" w:type="dxa"/>
            <w:bottom w:w="0" w:type="dxa"/>
            <w:right w:w="108" w:type="dxa"/>
          </w:tblCellMar>
        </w:tblPrEx>
        <w:trPr>
          <w:cantSplit/>
          <w:trHeight w:val="794" w:hRule="atLeast"/>
          <w:jc w:val="center"/>
        </w:trPr>
        <w:tc>
          <w:tcPr>
            <w:tcW w:w="612" w:type="dxa"/>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1208"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c>
          <w:tcPr>
            <w:tcW w:w="4322" w:type="dxa"/>
            <w:tcBorders>
              <w:top w:val="single" w:color="auto" w:sz="4" w:space="0"/>
              <w:left w:val="nil"/>
              <w:bottom w:val="single" w:color="auto" w:sz="4" w:space="0"/>
              <w:right w:val="single" w:color="auto" w:sz="4" w:space="0"/>
            </w:tcBorders>
            <w:vAlign w:val="center"/>
          </w:tcPr>
          <w:p>
            <w:pPr>
              <w:widowControl/>
              <w:autoSpaceDE/>
              <w:autoSpaceDN/>
              <w:spacing w:line="280" w:lineRule="exact"/>
              <w:jc w:val="center"/>
              <w:rPr>
                <w:rFonts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#其它资料</w:t>
            </w:r>
          </w:p>
        </w:tc>
        <w:tc>
          <w:tcPr>
            <w:tcW w:w="2836" w:type="dxa"/>
            <w:vMerge w:val="continue"/>
            <w:tcBorders>
              <w:top w:val="nil"/>
              <w:left w:val="nil"/>
              <w:bottom w:val="single" w:color="auto" w:sz="4" w:space="0"/>
              <w:right w:val="single" w:color="auto" w:sz="4" w:space="0"/>
            </w:tcBorders>
            <w:vAlign w:val="center"/>
          </w:tcPr>
          <w:p>
            <w:pPr>
              <w:widowControl/>
              <w:autoSpaceDE/>
              <w:autoSpaceDN/>
              <w:rPr>
                <w:rFonts w:ascii="仿宋_GB2312" w:hAnsi="Times New Roman" w:eastAsia="仿宋_GB2312" w:cs="Times New Roman"/>
                <w:sz w:val="24"/>
                <w:szCs w:val="24"/>
                <w:lang w:eastAsia="zh-CN"/>
              </w:rPr>
            </w:pPr>
          </w:p>
        </w:tc>
      </w:tr>
    </w:tbl>
    <w:p>
      <w:pPr>
        <w:widowControl/>
        <w:overflowPunct w:val="0"/>
        <w:autoSpaceDE/>
        <w:autoSpaceDN/>
        <w:spacing w:before="1" w:line="560" w:lineRule="exact"/>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备注：1.新建项目是指利用国有建设用地集中建设以及配建租赁住房；闲置商业、办公用地建设租赁住房；企事业单位利用自有土地建设租赁住房；工业园区建设租赁住房；集体土地建设租赁住房等。</w:t>
      </w:r>
    </w:p>
    <w:p>
      <w:pPr>
        <w:widowControl/>
        <w:overflowPunct w:val="0"/>
        <w:autoSpaceDE/>
        <w:autoSpaceDN/>
        <w:spacing w:before="1" w:line="560" w:lineRule="exact"/>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2.改建项目是指利用商业、办公、厂房、仓储等非住宅房屋改建为租赁住房，利用闲置的住宅房屋改造为租赁住房。</w:t>
      </w:r>
    </w:p>
    <w:p>
      <w:pPr>
        <w:widowControl/>
        <w:overflowPunct w:val="0"/>
        <w:autoSpaceDE/>
        <w:autoSpaceDN/>
        <w:spacing w:before="1" w:line="560" w:lineRule="exact"/>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3.盘活项目是指将闲置房屋经装修提升品质，转化为租赁住房；以及申请主体在市级监管平台按要求完成租赁合同网签备案的租赁住房；以及不需装修，将租赁住房录入市级住房租赁监管平台（含中介经纪机构录入的租赁房源）。</w:t>
      </w:r>
    </w:p>
    <w:p>
      <w:pPr>
        <w:widowControl/>
        <w:overflowPunct w:val="0"/>
        <w:autoSpaceDE/>
        <w:autoSpaceDN/>
        <w:spacing w:before="1" w:line="560" w:lineRule="exact"/>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4.征收腾空房屋改造项目是指利用征收腾空房屋改造为租赁住房。</w:t>
      </w:r>
    </w:p>
    <w:p>
      <w:pPr>
        <w:autoSpaceDE/>
        <w:autoSpaceDN/>
        <w:spacing w:line="560" w:lineRule="exact"/>
        <w:ind w:firstLine="640"/>
        <w:jc w:val="both"/>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六、联系方式</w:t>
      </w:r>
    </w:p>
    <w:p>
      <w:pPr>
        <w:autoSpaceDE/>
        <w:autoSpaceDN/>
        <w:spacing w:line="560" w:lineRule="exact"/>
        <w:ind w:firstLine="640"/>
        <w:jc w:val="both"/>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（一）市住房城乡建设局</w:t>
      </w:r>
    </w:p>
    <w:p>
      <w:pPr>
        <w:autoSpaceDE/>
        <w:autoSpaceDN/>
        <w:spacing w:line="560" w:lineRule="exact"/>
        <w:ind w:firstLine="64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1.新建、改建和征收腾空房屋改造项目</w:t>
      </w:r>
    </w:p>
    <w:p>
      <w:pPr>
        <w:autoSpaceDE/>
        <w:autoSpaceDN/>
        <w:spacing w:line="560" w:lineRule="exact"/>
        <w:ind w:firstLine="64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咨询电话：82687700、82661096</w:t>
      </w:r>
    </w:p>
    <w:p>
      <w:pPr>
        <w:autoSpaceDE/>
        <w:autoSpaceDN/>
        <w:spacing w:line="560" w:lineRule="exact"/>
        <w:ind w:firstLine="64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2.盘活项目、网签备案和平台互联</w:t>
      </w:r>
    </w:p>
    <w:p>
      <w:pPr>
        <w:autoSpaceDE/>
        <w:autoSpaceDN/>
        <w:spacing w:line="560" w:lineRule="exact"/>
        <w:ind w:firstLine="64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咨询电话：85933980、85785821</w:t>
      </w:r>
    </w:p>
    <w:p>
      <w:pPr>
        <w:autoSpaceDE/>
        <w:autoSpaceDN/>
        <w:spacing w:line="560" w:lineRule="exact"/>
        <w:ind w:firstLine="64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3.信息平台技术、网页端办理</w:t>
      </w:r>
    </w:p>
    <w:p>
      <w:pPr>
        <w:autoSpaceDE/>
        <w:autoSpaceDN/>
        <w:spacing w:line="560" w:lineRule="exact"/>
        <w:ind w:firstLine="64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咨询电话：82662681</w:t>
      </w:r>
    </w:p>
    <w:p>
      <w:pPr>
        <w:autoSpaceDE/>
        <w:autoSpaceDN/>
        <w:spacing w:line="560" w:lineRule="exact"/>
        <w:ind w:firstLine="640"/>
        <w:jc w:val="both"/>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（二）各区市住房城乡建设部门</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市南区城市建设局：88729562</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市北区城市建设更新局：66952760</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李沧区城市建设局：87890368</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崂山区住房和城乡建设局：88999750</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城阳区住房和城市建设管理局：68007903</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西海岸新区住房和城乡建设局：86888922</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即墨区房地产业发展服务中心：89063052</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胶州市住房服务保障中心：82289338</w:t>
      </w:r>
    </w:p>
    <w:p>
      <w:pPr>
        <w:autoSpaceDE/>
        <w:autoSpaceDN/>
        <w:spacing w:line="560" w:lineRule="exact"/>
        <w:ind w:firstLine="64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平度市房产服务中心：87357170</w:t>
      </w:r>
    </w:p>
    <w:p>
      <w:pPr>
        <w:autoSpaceDE/>
        <w:autoSpaceDN/>
        <w:spacing w:line="560" w:lineRule="exact"/>
        <w:ind w:firstLine="640"/>
        <w:jc w:val="both"/>
        <w:rPr>
          <w:rFonts w:hint="eastAsia" w:ascii="方正小标宋_GBK" w:hAnsi="Times New Roman" w:eastAsia="方正小标宋_GBK" w:cs="Times New Roman"/>
          <w:sz w:val="40"/>
          <w:szCs w:val="40"/>
          <w:lang w:eastAsia="zh-CN"/>
        </w:rPr>
      </w:pPr>
      <w:r>
        <w:rPr>
          <w:rFonts w:hint="eastAsia" w:ascii="仿宋_GB2312" w:hAnsi="Times New Roman" w:eastAsia="仿宋_GB2312" w:cs="Times New Roman"/>
          <w:kern w:val="2"/>
          <w:sz w:val="32"/>
          <w:szCs w:val="32"/>
          <w:lang w:eastAsia="zh-CN"/>
        </w:rPr>
        <w:t>莱西市房产服务中心：88401168</w:t>
      </w:r>
    </w:p>
    <w:p>
      <w:pPr>
        <w:autoSpaceDE/>
        <w:autoSpaceDN/>
        <w:spacing w:line="540" w:lineRule="exact"/>
        <w:ind w:firstLine="5280" w:firstLineChars="1650"/>
        <w:jc w:val="both"/>
        <w:rPr>
          <w:rFonts w:ascii="Times New Roman" w:hAnsi="Times New Roman" w:eastAsia="仿宋_GB2312" w:cs="Times New Roman"/>
          <w:kern w:val="2"/>
          <w:sz w:val="32"/>
          <w:szCs w:val="32"/>
          <w:lang w:eastAsia="zh-CN"/>
        </w:rPr>
      </w:pPr>
    </w:p>
    <w:sectPr>
      <w:pgSz w:w="11910" w:h="16840"/>
      <w:pgMar w:top="2098" w:right="1474" w:bottom="1985" w:left="1588" w:header="851" w:footer="14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DBmZTMxYzc3ZmVhNTMwOGMwMzdjNWUxNDAxOTcifQ=="/>
    <w:docVar w:name="metasota_documentID" w:val="8377434673122205696"/>
  </w:docVars>
  <w:rsids>
    <w:rsidRoot w:val="00FB3E0C"/>
    <w:rsid w:val="000B796A"/>
    <w:rsid w:val="000C1FB9"/>
    <w:rsid w:val="00110026"/>
    <w:rsid w:val="00227EB9"/>
    <w:rsid w:val="002E3A44"/>
    <w:rsid w:val="00454491"/>
    <w:rsid w:val="005E3F32"/>
    <w:rsid w:val="00662A2B"/>
    <w:rsid w:val="00691F6E"/>
    <w:rsid w:val="006D764B"/>
    <w:rsid w:val="007227EF"/>
    <w:rsid w:val="007353C0"/>
    <w:rsid w:val="00826173"/>
    <w:rsid w:val="00893F09"/>
    <w:rsid w:val="009C532F"/>
    <w:rsid w:val="009C6475"/>
    <w:rsid w:val="00A70049"/>
    <w:rsid w:val="00A87DB0"/>
    <w:rsid w:val="00B270F7"/>
    <w:rsid w:val="00B50032"/>
    <w:rsid w:val="00B64EA2"/>
    <w:rsid w:val="00B73A8F"/>
    <w:rsid w:val="00B8676E"/>
    <w:rsid w:val="00C72DB1"/>
    <w:rsid w:val="00E428E0"/>
    <w:rsid w:val="00EA5647"/>
    <w:rsid w:val="00FB3E0C"/>
    <w:rsid w:val="4EDA7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ind w:left="625" w:right="754"/>
      <w:jc w:val="center"/>
      <w:outlineLvl w:val="0"/>
    </w:pPr>
    <w:rPr>
      <w:sz w:val="42"/>
      <w:szCs w:val="4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31"/>
      <w:szCs w:val="31"/>
    </w:rPr>
  </w:style>
  <w:style w:type="paragraph" w:styleId="4">
    <w:name w:val="Date"/>
    <w:basedOn w:val="1"/>
    <w:next w:val="1"/>
    <w:link w:val="15"/>
    <w:semiHidden/>
    <w:unhideWhenUsed/>
    <w:uiPriority w:val="99"/>
    <w:pPr>
      <w:ind w:left="100" w:leftChars="2500"/>
    </w:pPr>
  </w:style>
  <w:style w:type="paragraph" w:styleId="5">
    <w:name w:val="footer"/>
    <w:basedOn w:val="1"/>
    <w:link w:val="14"/>
    <w:unhideWhenUsed/>
    <w:uiPriority w:val="99"/>
    <w:pPr>
      <w:tabs>
        <w:tab w:val="center" w:pos="4153"/>
        <w:tab w:val="right" w:pos="8306"/>
      </w:tabs>
      <w:snapToGrid w:val="0"/>
    </w:pPr>
    <w:rPr>
      <w:sz w:val="18"/>
      <w:szCs w:val="18"/>
    </w:rPr>
  </w:style>
  <w:style w:type="paragraph" w:styleId="6">
    <w:name w:val="header"/>
    <w:basedOn w:val="1"/>
    <w:link w:val="13"/>
    <w:unhideWhenUsed/>
    <w:uiPriority w:val="99"/>
    <w:pPr>
      <w:tabs>
        <w:tab w:val="center" w:pos="4153"/>
        <w:tab w:val="right" w:pos="8306"/>
      </w:tabs>
      <w:snapToGrid w:val="0"/>
      <w:jc w:val="center"/>
    </w:pPr>
    <w:rPr>
      <w:sz w:val="18"/>
      <w:szCs w:val="18"/>
    </w:rPr>
  </w:style>
  <w:style w:type="paragraph" w:styleId="7">
    <w:name w:val="Normal (Web)"/>
    <w:basedOn w:val="1"/>
    <w:unhideWhenUsed/>
    <w:uiPriority w:val="99"/>
    <w:pPr>
      <w:autoSpaceDE/>
      <w:autoSpaceDN/>
      <w:spacing w:before="100" w:beforeAutospacing="1" w:after="100" w:afterAutospacing="1" w:line="560" w:lineRule="exact"/>
    </w:pPr>
    <w:rPr>
      <w:rFonts w:ascii="Times New Roman" w:hAnsi="Times New Roman" w:eastAsia="仿宋_GB2312" w:cs="Times New Roman"/>
      <w:sz w:val="24"/>
      <w:szCs w:val="24"/>
      <w:lang w:eastAsia="zh-CN"/>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spacing w:before="210"/>
    </w:pPr>
  </w:style>
  <w:style w:type="character" w:customStyle="1" w:styleId="13">
    <w:name w:val="页眉 Char"/>
    <w:basedOn w:val="9"/>
    <w:link w:val="6"/>
    <w:uiPriority w:val="99"/>
    <w:rPr>
      <w:rFonts w:ascii="宋体" w:hAnsi="宋体" w:eastAsia="宋体" w:cs="宋体"/>
      <w:sz w:val="18"/>
      <w:szCs w:val="18"/>
    </w:rPr>
  </w:style>
  <w:style w:type="character" w:customStyle="1" w:styleId="14">
    <w:name w:val="页脚 Char"/>
    <w:basedOn w:val="9"/>
    <w:link w:val="5"/>
    <w:uiPriority w:val="99"/>
    <w:rPr>
      <w:rFonts w:ascii="宋体" w:hAnsi="宋体" w:eastAsia="宋体" w:cs="宋体"/>
      <w:sz w:val="18"/>
      <w:szCs w:val="18"/>
    </w:rPr>
  </w:style>
  <w:style w:type="character" w:customStyle="1" w:styleId="15">
    <w:name w:val="日期 Char"/>
    <w:basedOn w:val="9"/>
    <w:link w:val="4"/>
    <w:semiHidden/>
    <w:uiPriority w:val="99"/>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51BB2-1718-43A1-8873-F4D5022BC5E8}">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8</Pages>
  <Words>491</Words>
  <Characters>2802</Characters>
  <Lines>23</Lines>
  <Paragraphs>6</Paragraphs>
  <TotalTime>2</TotalTime>
  <ScaleCrop>false</ScaleCrop>
  <LinksUpToDate>false</LinksUpToDate>
  <CharactersWithSpaces>3287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2023-08-24T03:08:00Z</dcterms:created>
  <dc:creator>外网</dc:creator>
  <cp:lastModifiedBy>Administrator</cp:lastModifiedBy>
  <cp:lastPrinted>2023-08-22T05:38:00Z</cp:lastPrinted>
  <dcterms:modified xsi:type="dcterms:W3CDTF">2023-08-24T03:28:01Z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Canon </vt:lpwstr>
  </property>
  <property fmtid="{D5CDD505-2E9C-101B-9397-08002B2CF9AE}" pid="4" name="LastSaved">
    <vt:filetime>2022-07-26T00:00:00Z</vt:filetime>
  </property>
  <property fmtid="{D5CDD505-2E9C-101B-9397-08002B2CF9AE}" pid="5" name="KSOProductBuildVer">
    <vt:lpwstr>2052-12.1.0.15120</vt:lpwstr>
  </property>
  <property fmtid="{D5CDD505-2E9C-101B-9397-08002B2CF9AE}" pid="6" name="ICV">
    <vt:lpwstr>7898DB80DFB24D9784D269B244743F44_13</vt:lpwstr>
  </property>
</Properties>
</file>